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curtain style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(Pev</w:t>
      </w:r>
      <w:r w:rsidR="007E78FC">
        <w:rPr>
          <w:rFonts w:ascii="Arial" w:hAnsi="Arial" w:cs="Arial"/>
        </w:rPr>
        <w:t>r</w:t>
      </w:r>
      <w:r>
        <w:rPr>
          <w:rFonts w:ascii="Arial" w:hAnsi="Arial" w:cs="Arial"/>
        </w:rPr>
        <w:t>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7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D25F3E" w:rsidRPr="009C21F7">
        <w:rPr>
          <w:rFonts w:ascii="Arial" w:hAnsi="Arial" w:cs="Arial"/>
        </w:rPr>
        <w:t>FD-SAHG</w:t>
      </w:r>
      <w:r w:rsidR="00136D83" w:rsidRPr="009C21F7">
        <w:rPr>
          <w:rFonts w:ascii="Arial" w:hAnsi="Arial" w:cs="Arial"/>
        </w:rPr>
        <w:t xml:space="preserve"> static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="009C21F7">
        <w:rPr>
          <w:rFonts w:ascii="Arial" w:hAnsi="Arial" w:cs="Arial"/>
        </w:rPr>
        <w:t>, for behind grille applications.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AD1CA2">
        <w:rPr>
          <w:rFonts w:ascii="Arial" w:hAnsi="Arial" w:cs="Arial"/>
        </w:rPr>
        <w:t xml:space="preserve">for static applications </w:t>
      </w:r>
      <w:r w:rsidR="000221B1">
        <w:rPr>
          <w:rFonts w:ascii="Arial" w:hAnsi="Arial" w:cs="Arial"/>
        </w:rPr>
        <w:t>in accordance with UL-</w:t>
      </w:r>
      <w:r w:rsidR="000221B1" w:rsidRPr="009C21F7">
        <w:rPr>
          <w:rFonts w:ascii="Arial" w:hAnsi="Arial" w:cs="Arial"/>
        </w:rPr>
        <w:t xml:space="preserve">555: </w:t>
      </w:r>
      <w:r w:rsidR="007D2992" w:rsidRPr="009C21F7">
        <w:rPr>
          <w:rFonts w:ascii="Arial" w:hAnsi="Arial" w:cs="Arial"/>
        </w:rPr>
        <w:t>FD-SAH</w:t>
      </w:r>
      <w:r w:rsidR="00C100B3" w:rsidRPr="009C21F7">
        <w:rPr>
          <w:rFonts w:ascii="Arial" w:hAnsi="Arial" w:cs="Arial"/>
        </w:rPr>
        <w:t>G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AD1CA2">
        <w:rPr>
          <w:rFonts w:ascii="Arial" w:hAnsi="Arial" w:cs="Arial"/>
        </w:rPr>
        <w:t xml:space="preserve"> for static applications</w:t>
      </w:r>
      <w:r w:rsidR="000221B1">
        <w:rPr>
          <w:rFonts w:ascii="Arial" w:hAnsi="Arial" w:cs="Arial"/>
        </w:rPr>
        <w:t xml:space="preserve"> in accordance with UL-555: </w:t>
      </w:r>
      <w:r w:rsidR="00C100B3" w:rsidRPr="009C21F7">
        <w:rPr>
          <w:rFonts w:ascii="Arial" w:hAnsi="Arial" w:cs="Arial"/>
        </w:rPr>
        <w:t>FD-SA</w:t>
      </w:r>
      <w:r w:rsidR="007D2992" w:rsidRPr="009C21F7">
        <w:rPr>
          <w:rFonts w:ascii="Arial" w:hAnsi="Arial" w:cs="Arial"/>
        </w:rPr>
        <w:t>H</w:t>
      </w:r>
      <w:r w:rsidR="00C100B3" w:rsidRPr="009C21F7">
        <w:rPr>
          <w:rFonts w:ascii="Arial" w:hAnsi="Arial" w:cs="Arial"/>
        </w:rPr>
        <w:t>G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 w:rsidRPr="009C21F7">
        <w:rPr>
          <w:rFonts w:ascii="Arial" w:hAnsi="Arial" w:cs="Arial"/>
        </w:rPr>
        <w:t>Minimum 22 gauge (0.85 mm)</w:t>
      </w:r>
      <w:r w:rsidR="00382228" w:rsidRPr="009C21F7">
        <w:rPr>
          <w:rFonts w:ascii="Arial" w:hAnsi="Arial" w:cs="Arial"/>
        </w:rPr>
        <w:t xml:space="preserve"> </w:t>
      </w:r>
      <w:r w:rsidR="00502DD5" w:rsidRPr="009C21F7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9C21F7">
        <w:rPr>
          <w:rFonts w:ascii="Arial" w:hAnsi="Arial" w:cs="Arial"/>
          <w:sz w:val="20"/>
          <w:szCs w:val="20"/>
        </w:rPr>
        <w:t xml:space="preserve"> </w:t>
      </w:r>
      <w:r w:rsidR="0043234F" w:rsidRPr="009C21F7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9C21F7">
        <w:rPr>
          <w:rFonts w:ascii="Arial" w:hAnsi="Arial" w:cs="Arial"/>
        </w:rPr>
        <w:t>(94mm)</w:t>
      </w:r>
      <w:r w:rsidR="00200B8F" w:rsidRPr="009C21F7">
        <w:rPr>
          <w:rFonts w:ascii="Arial" w:hAnsi="Arial" w:cs="Arial"/>
          <w:sz w:val="20"/>
          <w:szCs w:val="20"/>
        </w:rPr>
        <w:t xml:space="preserve"> </w:t>
      </w:r>
      <w:r w:rsidRPr="009C21F7">
        <w:rPr>
          <w:rFonts w:ascii="Arial" w:hAnsi="Arial" w:cs="Arial"/>
        </w:rPr>
        <w:t>roll</w:t>
      </w:r>
      <w:r w:rsidR="000221B1" w:rsidRPr="009C21F7">
        <w:rPr>
          <w:rFonts w:ascii="Arial" w:hAnsi="Arial" w:cs="Arial"/>
        </w:rPr>
        <w:t xml:space="preserve"> formed, galvani</w:t>
      </w:r>
      <w:r w:rsidR="00E10D7C" w:rsidRPr="009C21F7">
        <w:rPr>
          <w:rFonts w:ascii="Arial" w:hAnsi="Arial" w:cs="Arial"/>
        </w:rPr>
        <w:t xml:space="preserve">zed steel, 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E10D7C" w:rsidRPr="009C21F7">
        <w:rPr>
          <w:rFonts w:ascii="Arial" w:hAnsi="Arial" w:cs="Arial"/>
          <w:b/>
          <w:sz w:val="16"/>
          <w:szCs w:val="16"/>
        </w:rPr>
        <w:t xml:space="preserve">” </w:t>
      </w:r>
      <w:r w:rsidR="00E10D7C" w:rsidRPr="009C21F7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 xml:space="preserve">Rectangular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9C21F7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FC" w:rsidRDefault="007E78FC" w:rsidP="007E78FC">
      <w:pPr>
        <w:spacing w:after="0" w:line="240" w:lineRule="auto"/>
      </w:pPr>
      <w:r>
        <w:separator/>
      </w:r>
    </w:p>
  </w:endnote>
  <w:end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FC" w:rsidRDefault="007E78FC" w:rsidP="007E78FC">
      <w:pPr>
        <w:spacing w:after="0" w:line="240" w:lineRule="auto"/>
      </w:pPr>
      <w:r>
        <w:separator/>
      </w:r>
    </w:p>
  </w:footnote>
  <w:foot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382228"/>
    <w:rsid w:val="0040387F"/>
    <w:rsid w:val="00403F42"/>
    <w:rsid w:val="0043234F"/>
    <w:rsid w:val="004D5BD6"/>
    <w:rsid w:val="004F3E96"/>
    <w:rsid w:val="00502DD5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A7403"/>
    <w:rsid w:val="007C7C87"/>
    <w:rsid w:val="007D1889"/>
    <w:rsid w:val="007D2992"/>
    <w:rsid w:val="007E78FC"/>
    <w:rsid w:val="00822326"/>
    <w:rsid w:val="00836BDF"/>
    <w:rsid w:val="00867322"/>
    <w:rsid w:val="00896A71"/>
    <w:rsid w:val="008D3D00"/>
    <w:rsid w:val="00944C17"/>
    <w:rsid w:val="00964389"/>
    <w:rsid w:val="009A52F2"/>
    <w:rsid w:val="009C21F7"/>
    <w:rsid w:val="009C4F05"/>
    <w:rsid w:val="00AB7A0C"/>
    <w:rsid w:val="00AD1CA2"/>
    <w:rsid w:val="00B70AC0"/>
    <w:rsid w:val="00BA3CB7"/>
    <w:rsid w:val="00C100B3"/>
    <w:rsid w:val="00C163C1"/>
    <w:rsid w:val="00C75787"/>
    <w:rsid w:val="00D25F3E"/>
    <w:rsid w:val="00D63C7A"/>
    <w:rsid w:val="00E10D7C"/>
    <w:rsid w:val="00E26940"/>
    <w:rsid w:val="00E608F8"/>
    <w:rsid w:val="00E95C12"/>
    <w:rsid w:val="00EF0A42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FC"/>
  </w:style>
  <w:style w:type="paragraph" w:styleId="Footer">
    <w:name w:val="footer"/>
    <w:basedOn w:val="Normal"/>
    <w:link w:val="Foot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dener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5</cp:revision>
  <cp:lastPrinted>2016-02-22T21:27:00Z</cp:lastPrinted>
  <dcterms:created xsi:type="dcterms:W3CDTF">2016-02-22T21:24:00Z</dcterms:created>
  <dcterms:modified xsi:type="dcterms:W3CDTF">2016-02-24T13:32:00Z</dcterms:modified>
</cp:coreProperties>
</file>